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66701" w14:textId="77777777" w:rsidR="00FE067E" w:rsidRDefault="00CD36CF" w:rsidP="00F35C12">
      <w:pPr>
        <w:pStyle w:val="TitlePageOrigin"/>
      </w:pPr>
      <w:r>
        <w:t>WEST virginia legislature</w:t>
      </w:r>
    </w:p>
    <w:p w14:paraId="358A606A" w14:textId="52BC91F7" w:rsidR="00CD36CF" w:rsidRDefault="00470D6E" w:rsidP="00F35C12">
      <w:pPr>
        <w:pStyle w:val="TitlePageSession"/>
      </w:pPr>
      <w:r>
        <w:t>20</w:t>
      </w:r>
      <w:r w:rsidR="007C2B4B">
        <w:t>2</w:t>
      </w:r>
      <w:r w:rsidR="00AE44D3">
        <w:t>1</w:t>
      </w:r>
      <w:r w:rsidR="00CD36CF">
        <w:t xml:space="preserve"> regular session</w:t>
      </w:r>
    </w:p>
    <w:p w14:paraId="18A18E30" w14:textId="77777777" w:rsidR="00CD36CF" w:rsidRDefault="00ED51CA" w:rsidP="00F35C12">
      <w:pPr>
        <w:pStyle w:val="TitlePageBillPrefix"/>
      </w:pPr>
      <w:sdt>
        <w:sdtPr>
          <w:tag w:val="IntroDate"/>
          <w:id w:val="-1236936958"/>
          <w:placeholder>
            <w:docPart w:val="078162E43DFF4FF5BFED85D68EC7CA32"/>
          </w:placeholder>
          <w:text/>
        </w:sdtPr>
        <w:sdtEndPr/>
        <w:sdtContent>
          <w:r w:rsidR="00E379D8">
            <w:t>Originating</w:t>
          </w:r>
        </w:sdtContent>
      </w:sdt>
    </w:p>
    <w:p w14:paraId="08D88C73" w14:textId="2EFE5F25" w:rsidR="00CD36CF" w:rsidRDefault="00ED51CA" w:rsidP="00F35C12">
      <w:pPr>
        <w:pStyle w:val="BillNumber"/>
      </w:pPr>
      <w:sdt>
        <w:sdtPr>
          <w:tag w:val="Chamber"/>
          <w:id w:val="893011969"/>
          <w:lock w:val="sdtLocked"/>
          <w:placeholder>
            <w:docPart w:val="74FE23CF57E64F7EB6875032E9603F77"/>
          </w:placeholder>
          <w:dropDownList>
            <w:listItem w:displayText="House" w:value="House"/>
            <w:listItem w:displayText="Senate" w:value="Senate"/>
          </w:dropDownList>
        </w:sdtPr>
        <w:sdtEndPr/>
        <w:sdtContent>
          <w:r w:rsidR="00551C13">
            <w:t>Senate</w:t>
          </w:r>
        </w:sdtContent>
      </w:sdt>
      <w:r w:rsidR="00303684">
        <w:t xml:space="preserve"> </w:t>
      </w:r>
      <w:r w:rsidR="00E379D8">
        <w:t>Bill</w:t>
      </w:r>
      <w:r w:rsidR="00BD4147">
        <w:t xml:space="preserve"> 396</w:t>
      </w:r>
    </w:p>
    <w:p w14:paraId="7690D66A" w14:textId="7134079E" w:rsidR="00CD36CF" w:rsidRDefault="00CD36CF" w:rsidP="00F35C12">
      <w:pPr>
        <w:pStyle w:val="Sponsors"/>
      </w:pPr>
      <w:r>
        <w:t xml:space="preserve">By </w:t>
      </w:r>
      <w:sdt>
        <w:sdtPr>
          <w:tag w:val="Sponsors"/>
          <w:id w:val="1589585889"/>
          <w:placeholder>
            <w:docPart w:val="7A29F068EB7D497199D1BC8507C3FA30"/>
          </w:placeholder>
          <w:text w:multiLine="1"/>
        </w:sdtPr>
        <w:sdtEndPr/>
        <w:sdtContent>
          <w:r w:rsidR="00396F60">
            <w:t>Senator</w:t>
          </w:r>
          <w:r w:rsidR="00A91A18">
            <w:t>s Azinger, Caputo, Grady, Karnes, Lindsay, Maynard, Phillips, Romano, Smith, Stover, Weld, Woodrum, and</w:t>
          </w:r>
          <w:r w:rsidR="00396F60">
            <w:t xml:space="preserve"> Trump</w:t>
          </w:r>
        </w:sdtContent>
      </w:sdt>
    </w:p>
    <w:p w14:paraId="2D7E9B04" w14:textId="7B3AD3B5" w:rsidR="00E831B3" w:rsidRDefault="00CD36CF" w:rsidP="00F35C12">
      <w:pPr>
        <w:pStyle w:val="References"/>
      </w:pPr>
      <w:r>
        <w:t>[</w:t>
      </w:r>
      <w:r w:rsidR="00E379D8">
        <w:t xml:space="preserve">Originating in the Committee on </w:t>
      </w:r>
      <w:sdt>
        <w:sdtPr>
          <w:tag w:val="References"/>
          <w:id w:val="-1043047873"/>
          <w:placeholder>
            <w:docPart w:val="A08C64D57D1C45AC9F9A56B540A33FE7"/>
          </w:placeholder>
          <w:text w:multiLine="1"/>
        </w:sdtPr>
        <w:sdtEndPr/>
        <w:sdtContent>
          <w:r w:rsidR="00396F60">
            <w:t>the Judiciary</w:t>
          </w:r>
        </w:sdtContent>
      </w:sdt>
      <w:r w:rsidR="00E379D8">
        <w:t xml:space="preserve">; </w:t>
      </w:r>
      <w:r w:rsidR="00ED51CA">
        <w:t>r</w:t>
      </w:r>
      <w:r w:rsidR="00E379D8">
        <w:t xml:space="preserve">eported on </w:t>
      </w:r>
      <w:sdt>
        <w:sdtPr>
          <w:id w:val="-566653316"/>
          <w:placeholder>
            <w:docPart w:val="BA8DE9CC9D1E448695B73576D8B117A1"/>
          </w:placeholder>
          <w:text/>
        </w:sdtPr>
        <w:sdtEndPr/>
        <w:sdtContent>
          <w:r w:rsidR="00396F60">
            <w:t xml:space="preserve">February </w:t>
          </w:r>
          <w:r w:rsidR="00BD4147">
            <w:t>22</w:t>
          </w:r>
          <w:r w:rsidR="00396F60">
            <w:t>,</w:t>
          </w:r>
          <w:r w:rsidR="00970A3E">
            <w:t xml:space="preserve"> </w:t>
          </w:r>
          <w:r w:rsidR="00396F60">
            <w:t>2021</w:t>
          </w:r>
        </w:sdtContent>
      </w:sdt>
      <w:r>
        <w:t>]</w:t>
      </w:r>
    </w:p>
    <w:p w14:paraId="6D0DC1B1" w14:textId="3B8A18CB" w:rsidR="00303684" w:rsidRDefault="0000526A" w:rsidP="00F35C12">
      <w:pPr>
        <w:pStyle w:val="TitleSection"/>
      </w:pPr>
      <w:r>
        <w:lastRenderedPageBreak/>
        <w:t>A BILL</w:t>
      </w:r>
      <w:r w:rsidR="00396F60">
        <w:t xml:space="preserve"> </w:t>
      </w:r>
      <w:r w:rsidR="00396F60" w:rsidRPr="00396F60">
        <w:t xml:space="preserve">to amend </w:t>
      </w:r>
      <w:r w:rsidR="00BD4147">
        <w:t xml:space="preserve">and reenact </w:t>
      </w:r>
      <w:r w:rsidR="00BD4147" w:rsidRPr="00396F60">
        <w:t>§</w:t>
      </w:r>
      <w:r w:rsidR="00BD4147">
        <w:t xml:space="preserve">29-12A-5 of </w:t>
      </w:r>
      <w:r w:rsidR="00396F60" w:rsidRPr="00396F60">
        <w:t>the Code of West Virginia, 1931, as amended, relating to providing limitations on nuisance actions against fire department or emergency medical services fixed sirens.</w:t>
      </w:r>
    </w:p>
    <w:p w14:paraId="43CC89F4" w14:textId="317280D3" w:rsidR="00BD4147" w:rsidRDefault="00303684" w:rsidP="00F35C12">
      <w:pPr>
        <w:pStyle w:val="EnactingClause"/>
        <w:sectPr w:rsidR="00BD4147"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0DD9F0F4" w14:textId="77777777" w:rsidR="00BD4147" w:rsidRDefault="00BD4147" w:rsidP="00BD4147">
      <w:pPr>
        <w:pStyle w:val="ArticleHeading"/>
      </w:pPr>
      <w:r>
        <w:t>ARTICLE 12A. GOVERNMENTAL TORT CLAIMS AND INSURANCE REFORM ACT.</w:t>
      </w:r>
    </w:p>
    <w:p w14:paraId="18D8DB68" w14:textId="1A677400" w:rsidR="00396F60" w:rsidRPr="00396F60" w:rsidRDefault="00396F60" w:rsidP="00396F60">
      <w:pPr>
        <w:widowControl w:val="0"/>
        <w:suppressLineNumbers/>
        <w:ind w:left="720" w:hanging="720"/>
        <w:jc w:val="both"/>
        <w:outlineLvl w:val="3"/>
        <w:rPr>
          <w:rFonts w:eastAsia="Calibri" w:cs="Times New Roman"/>
          <w:b/>
          <w:color w:val="000000"/>
        </w:rPr>
      </w:pPr>
      <w:r w:rsidRPr="00396F60">
        <w:rPr>
          <w:rFonts w:eastAsia="Calibri" w:cs="Times New Roman"/>
          <w:b/>
          <w:color w:val="000000"/>
        </w:rPr>
        <w:t xml:space="preserve">§29-12A-5. Immunities from liability. </w:t>
      </w:r>
    </w:p>
    <w:p w14:paraId="5265D9C1" w14:textId="184EEE08" w:rsidR="00396F60" w:rsidRPr="00396F60" w:rsidRDefault="00396F60" w:rsidP="00396F60">
      <w:pPr>
        <w:widowControl w:val="0"/>
        <w:ind w:firstLine="720"/>
        <w:jc w:val="both"/>
        <w:rPr>
          <w:rFonts w:eastAsia="Calibri" w:cs="Times New Roman"/>
          <w:color w:val="000000"/>
        </w:rPr>
      </w:pPr>
      <w:r w:rsidRPr="00396F60">
        <w:rPr>
          <w:rFonts w:eastAsia="Calibri" w:cs="Times New Roman"/>
          <w:color w:val="000000"/>
        </w:rPr>
        <w:t>(a) A political subdivision is immune from liability</w:t>
      </w:r>
      <w:r>
        <w:rPr>
          <w:rFonts w:eastAsia="Calibri" w:cs="Times New Roman"/>
          <w:color w:val="000000"/>
          <w:u w:val="single"/>
        </w:rPr>
        <w:t>, including nuisance claims,</w:t>
      </w:r>
      <w:r w:rsidRPr="00396F60">
        <w:rPr>
          <w:rFonts w:eastAsia="Calibri" w:cs="Times New Roman"/>
          <w:color w:val="000000"/>
        </w:rPr>
        <w:t xml:space="preserve"> if a loss or claim results from:</w:t>
      </w:r>
    </w:p>
    <w:p w14:paraId="285FAB10" w14:textId="77777777" w:rsidR="00396F60" w:rsidRPr="00396F60" w:rsidRDefault="00396F60" w:rsidP="00396F60">
      <w:pPr>
        <w:widowControl w:val="0"/>
        <w:ind w:firstLine="720"/>
        <w:jc w:val="both"/>
        <w:rPr>
          <w:rFonts w:eastAsia="Calibri" w:cs="Times New Roman"/>
          <w:color w:val="000000"/>
        </w:rPr>
      </w:pPr>
      <w:r w:rsidRPr="00396F60">
        <w:rPr>
          <w:rFonts w:eastAsia="Calibri" w:cs="Times New Roman"/>
          <w:color w:val="000000"/>
        </w:rPr>
        <w:t>(1) Legislative or quasi-legislative functions;</w:t>
      </w:r>
    </w:p>
    <w:p w14:paraId="79325881" w14:textId="58559F93" w:rsidR="00396F60" w:rsidRPr="00396F60" w:rsidRDefault="00396F60" w:rsidP="00396F60">
      <w:pPr>
        <w:widowControl w:val="0"/>
        <w:ind w:firstLine="720"/>
        <w:jc w:val="both"/>
        <w:rPr>
          <w:rFonts w:eastAsia="Calibri" w:cs="Times New Roman"/>
          <w:color w:val="000000"/>
        </w:rPr>
      </w:pPr>
      <w:r w:rsidRPr="00396F60">
        <w:rPr>
          <w:rFonts w:eastAsia="Calibri" w:cs="Times New Roman"/>
          <w:color w:val="000000"/>
        </w:rPr>
        <w:t>(2) Judicial, quasi-judicial</w:t>
      </w:r>
      <w:r w:rsidR="00970A3E">
        <w:rPr>
          <w:rFonts w:eastAsia="Calibri" w:cs="Times New Roman"/>
          <w:color w:val="000000"/>
        </w:rPr>
        <w:t>,</w:t>
      </w:r>
      <w:r w:rsidRPr="00396F60">
        <w:rPr>
          <w:rFonts w:eastAsia="Calibri" w:cs="Times New Roman"/>
          <w:color w:val="000000"/>
        </w:rPr>
        <w:t xml:space="preserve"> or prosecutorial functions;</w:t>
      </w:r>
    </w:p>
    <w:p w14:paraId="1B7A48F2" w14:textId="77777777" w:rsidR="00396F60" w:rsidRPr="00396F60" w:rsidRDefault="00396F60" w:rsidP="00396F60">
      <w:pPr>
        <w:widowControl w:val="0"/>
        <w:ind w:firstLine="720"/>
        <w:jc w:val="both"/>
        <w:rPr>
          <w:rFonts w:eastAsia="Calibri" w:cs="Times New Roman"/>
          <w:color w:val="000000"/>
        </w:rPr>
      </w:pPr>
      <w:r w:rsidRPr="00396F60">
        <w:rPr>
          <w:rFonts w:eastAsia="Calibri" w:cs="Times New Roman"/>
          <w:color w:val="000000"/>
        </w:rPr>
        <w:t>(3) Execution or enforcement of the lawful orders of any court;</w:t>
      </w:r>
    </w:p>
    <w:p w14:paraId="3D4D3DF6" w14:textId="23C41C08" w:rsidR="00396F60" w:rsidRPr="00396F60" w:rsidRDefault="00396F60" w:rsidP="00396F60">
      <w:pPr>
        <w:widowControl w:val="0"/>
        <w:ind w:firstLine="720"/>
        <w:jc w:val="both"/>
        <w:rPr>
          <w:rFonts w:eastAsia="Calibri" w:cs="Times New Roman"/>
          <w:color w:val="000000"/>
        </w:rPr>
      </w:pPr>
      <w:r w:rsidRPr="00396F60">
        <w:rPr>
          <w:rFonts w:eastAsia="Calibri" w:cs="Times New Roman"/>
          <w:color w:val="000000"/>
        </w:rPr>
        <w:t>(4) Adoption or failure to adopt a law, including, but not limited to, any statute, charter provision, ordinance, resolution, rule, regulation</w:t>
      </w:r>
      <w:r w:rsidR="00970A3E">
        <w:rPr>
          <w:rFonts w:eastAsia="Calibri" w:cs="Times New Roman"/>
          <w:color w:val="000000"/>
        </w:rPr>
        <w:t>,</w:t>
      </w:r>
      <w:r w:rsidRPr="00396F60">
        <w:rPr>
          <w:rFonts w:eastAsia="Calibri" w:cs="Times New Roman"/>
          <w:color w:val="000000"/>
        </w:rPr>
        <w:t xml:space="preserve"> or written policy;</w:t>
      </w:r>
    </w:p>
    <w:p w14:paraId="574EDC3C" w14:textId="3DD7DD2F" w:rsidR="00396F60" w:rsidRPr="00396F60" w:rsidRDefault="00396F60" w:rsidP="00396F60">
      <w:pPr>
        <w:widowControl w:val="0"/>
        <w:ind w:firstLine="720"/>
        <w:jc w:val="both"/>
        <w:rPr>
          <w:rFonts w:eastAsia="Calibri" w:cs="Times New Roman"/>
          <w:color w:val="000000"/>
        </w:rPr>
      </w:pPr>
      <w:r w:rsidRPr="00396F60">
        <w:rPr>
          <w:rFonts w:eastAsia="Calibri" w:cs="Times New Roman"/>
          <w:color w:val="000000"/>
        </w:rPr>
        <w:t>(5) Civil disobedience, riot, insurrection</w:t>
      </w:r>
      <w:r w:rsidR="00BD4147">
        <w:rPr>
          <w:rFonts w:eastAsia="Calibri" w:cs="Times New Roman"/>
          <w:color w:val="000000"/>
        </w:rPr>
        <w:t>,</w:t>
      </w:r>
      <w:r w:rsidRPr="00396F60">
        <w:rPr>
          <w:rFonts w:eastAsia="Calibri" w:cs="Times New Roman"/>
          <w:color w:val="000000"/>
        </w:rPr>
        <w:t xml:space="preserve"> or rebellion</w:t>
      </w:r>
      <w:r w:rsidR="00970A3E">
        <w:rPr>
          <w:rFonts w:eastAsia="Calibri" w:cs="Times New Roman"/>
          <w:color w:val="000000"/>
        </w:rPr>
        <w:t>,</w:t>
      </w:r>
      <w:r w:rsidRPr="00396F60">
        <w:rPr>
          <w:rFonts w:eastAsia="Calibri" w:cs="Times New Roman"/>
          <w:color w:val="000000"/>
        </w:rPr>
        <w:t xml:space="preserve"> or the failure to provide, or the method of providing, police, law enforcement</w:t>
      </w:r>
      <w:r w:rsidR="00970A3E">
        <w:rPr>
          <w:rFonts w:eastAsia="Calibri" w:cs="Times New Roman"/>
          <w:color w:val="000000"/>
        </w:rPr>
        <w:t>,</w:t>
      </w:r>
      <w:r w:rsidRPr="00396F60">
        <w:rPr>
          <w:rFonts w:eastAsia="Calibri" w:cs="Times New Roman"/>
          <w:color w:val="000000"/>
        </w:rPr>
        <w:t xml:space="preserve"> or fire protection</w:t>
      </w:r>
      <w:r w:rsidRPr="00396F60">
        <w:rPr>
          <w:rFonts w:eastAsia="Calibri" w:cs="Times New Roman"/>
          <w:color w:val="000000"/>
          <w:u w:val="single"/>
        </w:rPr>
        <w:t xml:space="preserve">, </w:t>
      </w:r>
      <w:r w:rsidR="0021641F">
        <w:rPr>
          <w:u w:val="single"/>
        </w:rPr>
        <w:t xml:space="preserve">including, but not limited to, </w:t>
      </w:r>
      <w:r w:rsidRPr="00396F60">
        <w:rPr>
          <w:u w:val="single"/>
        </w:rPr>
        <w:t>the use of fixed sirens for purposes of fire protection</w:t>
      </w:r>
      <w:r w:rsidRPr="00396F60">
        <w:rPr>
          <w:rFonts w:eastAsia="Calibri" w:cs="Times New Roman"/>
          <w:color w:val="000000"/>
          <w:u w:val="single"/>
        </w:rPr>
        <w:t xml:space="preserve"> or emergency </w:t>
      </w:r>
      <w:r>
        <w:rPr>
          <w:rFonts w:eastAsia="Calibri" w:cs="Times New Roman"/>
          <w:color w:val="000000"/>
          <w:u w:val="single"/>
        </w:rPr>
        <w:t xml:space="preserve">medical </w:t>
      </w:r>
      <w:r w:rsidRPr="00396F60">
        <w:rPr>
          <w:rFonts w:eastAsia="Calibri" w:cs="Times New Roman"/>
          <w:color w:val="000000"/>
          <w:u w:val="single"/>
        </w:rPr>
        <w:t>services</w:t>
      </w:r>
      <w:r w:rsidRPr="00396F60">
        <w:rPr>
          <w:rFonts w:eastAsia="Calibri" w:cs="Times New Roman"/>
          <w:color w:val="000000"/>
        </w:rPr>
        <w:t>;</w:t>
      </w:r>
    </w:p>
    <w:p w14:paraId="0763C9C9" w14:textId="77777777" w:rsidR="00396F60" w:rsidRPr="00396F60" w:rsidRDefault="00396F60" w:rsidP="00396F60">
      <w:pPr>
        <w:widowControl w:val="0"/>
        <w:ind w:firstLine="720"/>
        <w:jc w:val="both"/>
        <w:rPr>
          <w:rFonts w:eastAsia="Calibri" w:cs="Times New Roman"/>
          <w:color w:val="000000"/>
        </w:rPr>
      </w:pPr>
      <w:r w:rsidRPr="00396F60">
        <w:rPr>
          <w:rFonts w:eastAsia="Calibri" w:cs="Times New Roman"/>
          <w:color w:val="000000"/>
        </w:rPr>
        <w:t>(6) Snow or ice conditions or temporary or natural conditions on any public way or other public place due to weather conditions, unless the condition is affirmatively caused by the negligent act of a political subdivision;</w:t>
      </w:r>
    </w:p>
    <w:p w14:paraId="1A40CB49" w14:textId="77777777" w:rsidR="00396F60" w:rsidRPr="00396F60" w:rsidRDefault="00396F60" w:rsidP="00396F60">
      <w:pPr>
        <w:widowControl w:val="0"/>
        <w:ind w:firstLine="720"/>
        <w:jc w:val="both"/>
        <w:rPr>
          <w:rFonts w:eastAsia="Calibri" w:cs="Times New Roman"/>
          <w:color w:val="000000"/>
        </w:rPr>
      </w:pPr>
      <w:r w:rsidRPr="00396F60">
        <w:rPr>
          <w:rFonts w:eastAsia="Calibri" w:cs="Times New Roman"/>
          <w:color w:val="000000"/>
        </w:rPr>
        <w:t>(7) Natural conditions of unimproved property of the political subdivision;</w:t>
      </w:r>
    </w:p>
    <w:p w14:paraId="42C369E4" w14:textId="72D8B5E5" w:rsidR="00396F60" w:rsidRPr="00396F60" w:rsidRDefault="00396F60" w:rsidP="00396F60">
      <w:pPr>
        <w:widowControl w:val="0"/>
        <w:ind w:firstLine="720"/>
        <w:jc w:val="both"/>
        <w:rPr>
          <w:rFonts w:eastAsia="Calibri" w:cs="Times New Roman"/>
          <w:color w:val="000000"/>
        </w:rPr>
      </w:pPr>
      <w:r w:rsidRPr="00396F60">
        <w:rPr>
          <w:rFonts w:eastAsia="Calibri" w:cs="Times New Roman"/>
          <w:color w:val="000000"/>
        </w:rPr>
        <w:t>(8) Assessment or collection of taxes lawfully imposed or special assessments, license or registration fees</w:t>
      </w:r>
      <w:r w:rsidR="00BD4147">
        <w:rPr>
          <w:rFonts w:eastAsia="Calibri" w:cs="Times New Roman"/>
          <w:color w:val="000000"/>
        </w:rPr>
        <w:t>,</w:t>
      </w:r>
      <w:r w:rsidRPr="00396F60">
        <w:rPr>
          <w:rFonts w:eastAsia="Calibri" w:cs="Times New Roman"/>
          <w:color w:val="000000"/>
        </w:rPr>
        <w:t xml:space="preserve"> or other fees or charges imposed by law;</w:t>
      </w:r>
    </w:p>
    <w:p w14:paraId="5DC21669" w14:textId="69AE4140" w:rsidR="00396F60" w:rsidRPr="00396F60" w:rsidRDefault="00396F60" w:rsidP="00396F60">
      <w:pPr>
        <w:widowControl w:val="0"/>
        <w:ind w:firstLine="720"/>
        <w:jc w:val="both"/>
        <w:rPr>
          <w:rFonts w:eastAsia="Calibri" w:cs="Times New Roman"/>
          <w:color w:val="000000"/>
        </w:rPr>
      </w:pPr>
      <w:r w:rsidRPr="00396F60">
        <w:rPr>
          <w:rFonts w:eastAsia="Calibri" w:cs="Times New Roman"/>
          <w:color w:val="000000"/>
        </w:rPr>
        <w:t>(9) Licensing powers or functions including, but not limited to, the issuance, denial, suspension</w:t>
      </w:r>
      <w:r w:rsidR="00970A3E">
        <w:rPr>
          <w:rFonts w:eastAsia="Calibri" w:cs="Times New Roman"/>
          <w:color w:val="000000"/>
        </w:rPr>
        <w:t>,</w:t>
      </w:r>
      <w:r w:rsidRPr="00396F60">
        <w:rPr>
          <w:rFonts w:eastAsia="Calibri" w:cs="Times New Roman"/>
          <w:color w:val="000000"/>
        </w:rPr>
        <w:t xml:space="preserve"> or revocation of or failure or refusal to issue, deny, suspend</w:t>
      </w:r>
      <w:r w:rsidR="00BD4147">
        <w:rPr>
          <w:rFonts w:eastAsia="Calibri" w:cs="Times New Roman"/>
          <w:color w:val="000000"/>
        </w:rPr>
        <w:t>,</w:t>
      </w:r>
      <w:r w:rsidRPr="00396F60">
        <w:rPr>
          <w:rFonts w:eastAsia="Calibri" w:cs="Times New Roman"/>
          <w:color w:val="000000"/>
        </w:rPr>
        <w:t xml:space="preserve"> or revoke any permit, license, certificate, approval, order</w:t>
      </w:r>
      <w:r w:rsidR="00970A3E">
        <w:rPr>
          <w:rFonts w:eastAsia="Calibri" w:cs="Times New Roman"/>
          <w:color w:val="000000"/>
        </w:rPr>
        <w:t>,</w:t>
      </w:r>
      <w:r w:rsidRPr="00396F60">
        <w:rPr>
          <w:rFonts w:eastAsia="Calibri" w:cs="Times New Roman"/>
          <w:color w:val="000000"/>
        </w:rPr>
        <w:t xml:space="preserve"> or similar authority;</w:t>
      </w:r>
    </w:p>
    <w:p w14:paraId="79E29807" w14:textId="77777777" w:rsidR="00396F60" w:rsidRPr="00396F60" w:rsidRDefault="00396F60" w:rsidP="00396F60">
      <w:pPr>
        <w:widowControl w:val="0"/>
        <w:ind w:firstLine="720"/>
        <w:jc w:val="both"/>
        <w:rPr>
          <w:rFonts w:eastAsia="Calibri" w:cs="Times New Roman"/>
          <w:color w:val="000000"/>
        </w:rPr>
      </w:pPr>
      <w:r w:rsidRPr="00396F60">
        <w:rPr>
          <w:rFonts w:eastAsia="Calibri" w:cs="Times New Roman"/>
          <w:color w:val="000000"/>
        </w:rPr>
        <w:t>(10) Inspection powers or functions, including failure to make an inspection, or making an inadequate inspection, of any property, real or personal, to determine whether the property complies with or violates any law or contains a hazard to health or safety;</w:t>
      </w:r>
    </w:p>
    <w:p w14:paraId="04EF353D" w14:textId="0906A581" w:rsidR="00396F60" w:rsidRPr="00396F60" w:rsidRDefault="00396F60" w:rsidP="00396F60">
      <w:pPr>
        <w:widowControl w:val="0"/>
        <w:ind w:firstLine="720"/>
        <w:jc w:val="both"/>
        <w:rPr>
          <w:rFonts w:eastAsia="Calibri" w:cs="Times New Roman"/>
          <w:color w:val="000000"/>
        </w:rPr>
      </w:pPr>
      <w:r w:rsidRPr="00396F60">
        <w:rPr>
          <w:rFonts w:eastAsia="Calibri" w:cs="Times New Roman"/>
          <w:color w:val="000000"/>
        </w:rPr>
        <w:t>(11) Any claim covered by any workers</w:t>
      </w:r>
      <w:r w:rsidR="00BD4147">
        <w:rPr>
          <w:rFonts w:eastAsia="Calibri" w:cs="Times New Roman"/>
          <w:color w:val="000000"/>
        </w:rPr>
        <w:t>’</w:t>
      </w:r>
      <w:r w:rsidRPr="00396F60">
        <w:rPr>
          <w:rFonts w:eastAsia="Calibri" w:cs="Times New Roman"/>
          <w:color w:val="000000"/>
        </w:rPr>
        <w:t xml:space="preserve"> compensation law or any employers</w:t>
      </w:r>
      <w:r w:rsidR="00BD4147">
        <w:rPr>
          <w:rFonts w:eastAsia="Calibri" w:cs="Times New Roman"/>
          <w:color w:val="000000"/>
        </w:rPr>
        <w:t>’</w:t>
      </w:r>
      <w:r w:rsidRPr="00396F60">
        <w:rPr>
          <w:rFonts w:eastAsia="Calibri" w:cs="Times New Roman"/>
          <w:color w:val="000000"/>
        </w:rPr>
        <w:t xml:space="preserve"> liability law;</w:t>
      </w:r>
    </w:p>
    <w:p w14:paraId="67DA1FD4" w14:textId="77777777" w:rsidR="00396F60" w:rsidRPr="00396F60" w:rsidRDefault="00396F60" w:rsidP="00396F60">
      <w:pPr>
        <w:widowControl w:val="0"/>
        <w:ind w:firstLine="720"/>
        <w:jc w:val="both"/>
        <w:rPr>
          <w:rFonts w:eastAsia="Calibri" w:cs="Times New Roman"/>
          <w:color w:val="000000"/>
        </w:rPr>
      </w:pPr>
      <w:r w:rsidRPr="00396F60">
        <w:rPr>
          <w:rFonts w:eastAsia="Calibri" w:cs="Times New Roman"/>
          <w:color w:val="000000"/>
        </w:rPr>
        <w:t>(12) Misrepresentation, if unintentional;</w:t>
      </w:r>
    </w:p>
    <w:p w14:paraId="3603EA79" w14:textId="77777777" w:rsidR="00396F60" w:rsidRPr="00396F60" w:rsidRDefault="00396F60" w:rsidP="00396F60">
      <w:pPr>
        <w:widowControl w:val="0"/>
        <w:ind w:firstLine="720"/>
        <w:jc w:val="both"/>
        <w:rPr>
          <w:rFonts w:eastAsia="Calibri" w:cs="Times New Roman"/>
          <w:color w:val="000000"/>
        </w:rPr>
      </w:pPr>
      <w:r w:rsidRPr="00396F60">
        <w:rPr>
          <w:rFonts w:eastAsia="Calibri" w:cs="Times New Roman"/>
          <w:color w:val="000000"/>
        </w:rPr>
        <w:t>(13) Any court-ordered or administratively approved work release or treatment or rehabilitation program;</w:t>
      </w:r>
    </w:p>
    <w:p w14:paraId="4F46F15B" w14:textId="32011245" w:rsidR="00396F60" w:rsidRPr="00396F60" w:rsidRDefault="00396F60" w:rsidP="00396F60">
      <w:pPr>
        <w:widowControl w:val="0"/>
        <w:ind w:firstLine="720"/>
        <w:jc w:val="both"/>
        <w:rPr>
          <w:rFonts w:eastAsia="Calibri" w:cs="Times New Roman"/>
          <w:color w:val="000000"/>
        </w:rPr>
      </w:pPr>
      <w:r w:rsidRPr="00396F60">
        <w:rPr>
          <w:rFonts w:eastAsia="Calibri" w:cs="Times New Roman"/>
          <w:color w:val="000000"/>
        </w:rPr>
        <w:t>(14) Provision, equipping, lawful operation</w:t>
      </w:r>
      <w:r w:rsidR="00BD4147">
        <w:rPr>
          <w:rFonts w:eastAsia="Calibri" w:cs="Times New Roman"/>
          <w:color w:val="000000"/>
        </w:rPr>
        <w:t>,</w:t>
      </w:r>
      <w:r w:rsidRPr="00396F60">
        <w:rPr>
          <w:rFonts w:eastAsia="Calibri" w:cs="Times New Roman"/>
          <w:color w:val="000000"/>
        </w:rPr>
        <w:t xml:space="preserve"> or maintenance of any prison, jail</w:t>
      </w:r>
      <w:r w:rsidR="00BD4147">
        <w:rPr>
          <w:rFonts w:eastAsia="Calibri" w:cs="Times New Roman"/>
          <w:color w:val="000000"/>
        </w:rPr>
        <w:t>,</w:t>
      </w:r>
      <w:r w:rsidRPr="00396F60">
        <w:rPr>
          <w:rFonts w:eastAsia="Calibri" w:cs="Times New Roman"/>
          <w:color w:val="000000"/>
        </w:rPr>
        <w:t xml:space="preserve"> or correctional facility, or injuries resulting from the parole or escape of a prisoner;</w:t>
      </w:r>
    </w:p>
    <w:p w14:paraId="6FA6223F" w14:textId="77777777" w:rsidR="00396F60" w:rsidRPr="00396F60" w:rsidRDefault="00396F60" w:rsidP="00396F60">
      <w:pPr>
        <w:widowControl w:val="0"/>
        <w:ind w:firstLine="720"/>
        <w:jc w:val="both"/>
        <w:rPr>
          <w:rFonts w:eastAsia="Calibri" w:cs="Times New Roman"/>
          <w:color w:val="000000"/>
        </w:rPr>
      </w:pPr>
      <w:r w:rsidRPr="00396F60">
        <w:rPr>
          <w:rFonts w:eastAsia="Calibri" w:cs="Times New Roman"/>
          <w:color w:val="000000"/>
        </w:rPr>
        <w:t>(15) Any claim or action based on the theory of manufacturer's products liability or breach of warranty or merchantability or fitness for a specific purpose, either expressed or implied;</w:t>
      </w:r>
    </w:p>
    <w:p w14:paraId="537CC432" w14:textId="77777777" w:rsidR="00396F60" w:rsidRPr="00396F60" w:rsidRDefault="00396F60" w:rsidP="00396F60">
      <w:pPr>
        <w:widowControl w:val="0"/>
        <w:ind w:firstLine="720"/>
        <w:jc w:val="both"/>
        <w:rPr>
          <w:rFonts w:eastAsia="Calibri" w:cs="Times New Roman"/>
          <w:color w:val="000000"/>
        </w:rPr>
      </w:pPr>
      <w:r w:rsidRPr="00396F60">
        <w:rPr>
          <w:rFonts w:eastAsia="Calibri" w:cs="Times New Roman"/>
          <w:color w:val="000000"/>
        </w:rPr>
        <w:t>(16) The operation of dumps, sanitary landfills, and facilities where conducted directly by a political subdivision; or</w:t>
      </w:r>
    </w:p>
    <w:p w14:paraId="747F8EFF" w14:textId="77777777" w:rsidR="00396F60" w:rsidRPr="00396F60" w:rsidRDefault="00396F60" w:rsidP="00396F60">
      <w:pPr>
        <w:widowControl w:val="0"/>
        <w:ind w:firstLine="720"/>
        <w:jc w:val="both"/>
        <w:rPr>
          <w:rFonts w:eastAsia="Calibri" w:cs="Times New Roman"/>
          <w:color w:val="000000"/>
        </w:rPr>
      </w:pPr>
      <w:r w:rsidRPr="00396F60">
        <w:rPr>
          <w:rFonts w:eastAsia="Calibri" w:cs="Times New Roman"/>
          <w:color w:val="000000"/>
        </w:rPr>
        <w:t>(17) The issuance of revenue bonds or the refusal to issue revenue bonds.</w:t>
      </w:r>
    </w:p>
    <w:p w14:paraId="5C9DCEDC" w14:textId="79123180" w:rsidR="00396F60" w:rsidRPr="00396F60" w:rsidRDefault="00396F60" w:rsidP="00396F60">
      <w:pPr>
        <w:widowControl w:val="0"/>
        <w:ind w:firstLine="720"/>
        <w:jc w:val="both"/>
        <w:rPr>
          <w:rFonts w:eastAsia="Calibri" w:cs="Times New Roman"/>
          <w:color w:val="000000"/>
        </w:rPr>
      </w:pPr>
      <w:r w:rsidRPr="00396F60">
        <w:rPr>
          <w:rFonts w:eastAsia="Calibri" w:cs="Times New Roman"/>
          <w:color w:val="000000"/>
        </w:rPr>
        <w:t>(b) An employee of a political subdivision is immune from liability unless one of the following applies</w:t>
      </w:r>
      <w:r w:rsidR="00BD4147">
        <w:rPr>
          <w:rFonts w:eastAsia="Calibri" w:cs="Times New Roman"/>
          <w:color w:val="000000"/>
        </w:rPr>
        <w:t>:</w:t>
      </w:r>
    </w:p>
    <w:p w14:paraId="2D15C270" w14:textId="77777777" w:rsidR="00396F60" w:rsidRPr="00396F60" w:rsidRDefault="00396F60" w:rsidP="00396F60">
      <w:pPr>
        <w:widowControl w:val="0"/>
        <w:ind w:firstLine="720"/>
        <w:jc w:val="both"/>
        <w:rPr>
          <w:rFonts w:eastAsia="Calibri" w:cs="Times New Roman"/>
          <w:color w:val="000000"/>
        </w:rPr>
      </w:pPr>
      <w:r w:rsidRPr="00396F60">
        <w:rPr>
          <w:rFonts w:eastAsia="Calibri" w:cs="Times New Roman"/>
          <w:color w:val="000000"/>
        </w:rPr>
        <w:t>(1) His or her acts or omissions were manifestly outside the scope of employment or official responsibilities;</w:t>
      </w:r>
    </w:p>
    <w:p w14:paraId="36D10779" w14:textId="77777777" w:rsidR="00396F60" w:rsidRPr="00396F60" w:rsidRDefault="00396F60" w:rsidP="00396F60">
      <w:pPr>
        <w:widowControl w:val="0"/>
        <w:ind w:firstLine="720"/>
        <w:jc w:val="both"/>
        <w:rPr>
          <w:rFonts w:eastAsia="Calibri" w:cs="Times New Roman"/>
          <w:color w:val="000000"/>
        </w:rPr>
      </w:pPr>
      <w:r w:rsidRPr="00396F60">
        <w:rPr>
          <w:rFonts w:eastAsia="Calibri" w:cs="Times New Roman"/>
          <w:color w:val="000000"/>
        </w:rPr>
        <w:t>(2) His or her acts or omissions were with malicious purpose, in bad faith, or in a wanton or reckless manner; or</w:t>
      </w:r>
    </w:p>
    <w:p w14:paraId="0C187D0F" w14:textId="77777777" w:rsidR="00396F60" w:rsidRPr="00396F60" w:rsidRDefault="00396F60" w:rsidP="00396F60">
      <w:pPr>
        <w:widowControl w:val="0"/>
        <w:ind w:firstLine="720"/>
        <w:jc w:val="both"/>
        <w:rPr>
          <w:rFonts w:eastAsia="Calibri" w:cs="Times New Roman"/>
          <w:color w:val="000000"/>
        </w:rPr>
      </w:pPr>
      <w:r w:rsidRPr="00396F60">
        <w:rPr>
          <w:rFonts w:eastAsia="Calibri" w:cs="Times New Roman"/>
          <w:color w:val="000000"/>
        </w:rPr>
        <w:t>(3) Liability is expressly imposed upon the employee by a provision of this code.</w:t>
      </w:r>
    </w:p>
    <w:p w14:paraId="22826298" w14:textId="77777777" w:rsidR="00396F60" w:rsidRPr="00396F60" w:rsidRDefault="00396F60" w:rsidP="00396F60">
      <w:pPr>
        <w:widowControl w:val="0"/>
        <w:ind w:firstLine="720"/>
        <w:jc w:val="both"/>
        <w:rPr>
          <w:rFonts w:eastAsia="Calibri" w:cs="Times New Roman"/>
          <w:color w:val="000000"/>
        </w:rPr>
        <w:sectPr w:rsidR="00396F60" w:rsidRPr="00396F60" w:rsidSect="006049F7">
          <w:type w:val="continuous"/>
          <w:pgSz w:w="12240" w:h="15840"/>
          <w:pgMar w:top="1440" w:right="1440" w:bottom="1440" w:left="1440" w:header="1440" w:footer="1440" w:gutter="0"/>
          <w:lnNumType w:countBy="1" w:restart="newSection"/>
          <w:cols w:space="720"/>
          <w:noEndnote/>
          <w:docGrid w:linePitch="326"/>
        </w:sectPr>
      </w:pPr>
      <w:r w:rsidRPr="00396F60">
        <w:rPr>
          <w:rFonts w:eastAsia="Calibri" w:cs="Times New Roman"/>
          <w:color w:val="000000"/>
        </w:rPr>
        <w:t>(c) The immunity conferred upon an employee by subsection (b) of this section does not affect or limit any liability of a political subdivision for an act or omission of the employee.</w:t>
      </w:r>
    </w:p>
    <w:p w14:paraId="699A9F12" w14:textId="2DB61CEF" w:rsidR="006865E9" w:rsidRPr="00303684" w:rsidRDefault="006865E9" w:rsidP="00BD4147">
      <w:pPr>
        <w:pStyle w:val="Note"/>
        <w:ind w:left="0"/>
      </w:pPr>
    </w:p>
    <w:sectPr w:rsidR="006865E9" w:rsidRPr="00303684"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9215E" w14:textId="77777777" w:rsidR="00704CB3" w:rsidRPr="00B844FE" w:rsidRDefault="00704CB3" w:rsidP="00B844FE">
      <w:r>
        <w:separator/>
      </w:r>
    </w:p>
  </w:endnote>
  <w:endnote w:type="continuationSeparator" w:id="0">
    <w:p w14:paraId="13852497" w14:textId="77777777" w:rsidR="00704CB3" w:rsidRPr="00B844FE" w:rsidRDefault="00704CB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AEB9FE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1C62E5E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214CA779" w14:textId="77777777" w:rsidR="002A0269" w:rsidRDefault="00DF199D" w:rsidP="00DF199D">
        <w:pPr>
          <w:pStyle w:val="Footer"/>
          <w:jc w:val="center"/>
        </w:pPr>
        <w:r>
          <w:fldChar w:fldCharType="begin"/>
        </w:r>
        <w:r>
          <w:instrText xml:space="preserve"> PAGE   \* MERGEFORMAT </w:instrText>
        </w:r>
        <w:r>
          <w:fldChar w:fldCharType="separate"/>
        </w:r>
        <w:r w:rsidR="00470D6E">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560FC" w14:textId="77777777" w:rsidR="00704CB3" w:rsidRPr="00B844FE" w:rsidRDefault="00704CB3" w:rsidP="00B844FE">
      <w:r>
        <w:separator/>
      </w:r>
    </w:p>
  </w:footnote>
  <w:footnote w:type="continuationSeparator" w:id="0">
    <w:p w14:paraId="54ECB16A" w14:textId="77777777" w:rsidR="00704CB3" w:rsidRPr="00B844FE" w:rsidRDefault="00704CB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67DFB" w14:textId="77777777" w:rsidR="002A0269" w:rsidRPr="00B844FE" w:rsidRDefault="00ED51CA">
    <w:pPr>
      <w:pStyle w:val="Header"/>
    </w:pPr>
    <w:sdt>
      <w:sdtPr>
        <w:id w:val="-684364211"/>
        <w:placeholder>
          <w:docPart w:val="74FE23CF57E64F7EB6875032E9603F77"/>
        </w:placeholder>
        <w:temporary/>
        <w:showingPlcHdr/>
        <w15:appearance w15:val="hidden"/>
      </w:sdtPr>
      <w:sdtEndPr/>
      <w:sdtContent>
        <w:r w:rsidR="00B658B6" w:rsidRPr="00B844FE">
          <w:t>[Type here]</w:t>
        </w:r>
      </w:sdtContent>
    </w:sdt>
    <w:r w:rsidR="002A0269" w:rsidRPr="00B844FE">
      <w:ptab w:relativeTo="margin" w:alignment="left" w:leader="none"/>
    </w:r>
    <w:sdt>
      <w:sdtPr>
        <w:id w:val="-556240388"/>
        <w:placeholder>
          <w:docPart w:val="74FE23CF57E64F7EB6875032E9603F77"/>
        </w:placeholder>
        <w:temporary/>
        <w:showingPlcHdr/>
        <w15:appearance w15:val="hidden"/>
      </w:sdtPr>
      <w:sdtEndPr/>
      <w:sdtContent>
        <w:r w:rsidR="00B658B6"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A133C9" w14:textId="0967DF0C" w:rsidR="00E831B3" w:rsidRDefault="00BD4147" w:rsidP="00F35C12">
    <w:pPr>
      <w:pStyle w:val="HeaderStyle"/>
    </w:pPr>
    <w:r>
      <w:t>Org SB 396</w:t>
    </w:r>
  </w:p>
  <w:p w14:paraId="479CCDD4" w14:textId="77777777" w:rsidR="00970A3E" w:rsidRPr="00F35C12" w:rsidRDefault="00970A3E" w:rsidP="00F35C12">
    <w:pPr>
      <w:pStyle w:val="HeaderSty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6E"/>
    <w:rsid w:val="0000526A"/>
    <w:rsid w:val="00085D22"/>
    <w:rsid w:val="000C5C77"/>
    <w:rsid w:val="000D16AD"/>
    <w:rsid w:val="0010070F"/>
    <w:rsid w:val="0015112E"/>
    <w:rsid w:val="001552E7"/>
    <w:rsid w:val="001566B4"/>
    <w:rsid w:val="001C279E"/>
    <w:rsid w:val="001D459E"/>
    <w:rsid w:val="0021641F"/>
    <w:rsid w:val="0027011C"/>
    <w:rsid w:val="00274200"/>
    <w:rsid w:val="00275740"/>
    <w:rsid w:val="002A0269"/>
    <w:rsid w:val="00303684"/>
    <w:rsid w:val="003143F5"/>
    <w:rsid w:val="00314854"/>
    <w:rsid w:val="00396F60"/>
    <w:rsid w:val="003C51CD"/>
    <w:rsid w:val="004247A2"/>
    <w:rsid w:val="00470D6E"/>
    <w:rsid w:val="004B2795"/>
    <w:rsid w:val="004C13DD"/>
    <w:rsid w:val="004E3441"/>
    <w:rsid w:val="00551C13"/>
    <w:rsid w:val="005A5366"/>
    <w:rsid w:val="00637E73"/>
    <w:rsid w:val="006865E9"/>
    <w:rsid w:val="00691F3E"/>
    <w:rsid w:val="00694BFB"/>
    <w:rsid w:val="006A106B"/>
    <w:rsid w:val="006C523D"/>
    <w:rsid w:val="006D4036"/>
    <w:rsid w:val="00704CB3"/>
    <w:rsid w:val="007C2B4B"/>
    <w:rsid w:val="007E02CF"/>
    <w:rsid w:val="007F1CF5"/>
    <w:rsid w:val="00822DB0"/>
    <w:rsid w:val="00834EDE"/>
    <w:rsid w:val="008736AA"/>
    <w:rsid w:val="008D275D"/>
    <w:rsid w:val="00970A3E"/>
    <w:rsid w:val="00974F15"/>
    <w:rsid w:val="00980327"/>
    <w:rsid w:val="009F1067"/>
    <w:rsid w:val="00A31E01"/>
    <w:rsid w:val="00A527AD"/>
    <w:rsid w:val="00A718CF"/>
    <w:rsid w:val="00A760BE"/>
    <w:rsid w:val="00A91A18"/>
    <w:rsid w:val="00AE44D3"/>
    <w:rsid w:val="00AE48A0"/>
    <w:rsid w:val="00AE61BE"/>
    <w:rsid w:val="00B16F25"/>
    <w:rsid w:val="00B24422"/>
    <w:rsid w:val="00B658B6"/>
    <w:rsid w:val="00B80C20"/>
    <w:rsid w:val="00B844FE"/>
    <w:rsid w:val="00BC3B1B"/>
    <w:rsid w:val="00BC562B"/>
    <w:rsid w:val="00BD4147"/>
    <w:rsid w:val="00C33014"/>
    <w:rsid w:val="00C33434"/>
    <w:rsid w:val="00C34869"/>
    <w:rsid w:val="00C42EB6"/>
    <w:rsid w:val="00C85096"/>
    <w:rsid w:val="00CB20EF"/>
    <w:rsid w:val="00CD12CB"/>
    <w:rsid w:val="00CD36CF"/>
    <w:rsid w:val="00CF1DCA"/>
    <w:rsid w:val="00D579FC"/>
    <w:rsid w:val="00DE526B"/>
    <w:rsid w:val="00DF199D"/>
    <w:rsid w:val="00E01542"/>
    <w:rsid w:val="00E365F1"/>
    <w:rsid w:val="00E379D8"/>
    <w:rsid w:val="00E62F48"/>
    <w:rsid w:val="00E831B3"/>
    <w:rsid w:val="00ED51CA"/>
    <w:rsid w:val="00EE70CB"/>
    <w:rsid w:val="00EF4D13"/>
    <w:rsid w:val="00F23775"/>
    <w:rsid w:val="00F33EFF"/>
    <w:rsid w:val="00F35C12"/>
    <w:rsid w:val="00F37F5C"/>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1A9A2AC"/>
  <w15:chartTrackingRefBased/>
  <w15:docId w15:val="{AB1EE527-3138-4CA4-B3C4-FEC1742AD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F35C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F35C12"/>
    <w:pPr>
      <w:spacing w:line="240" w:lineRule="auto"/>
    </w:pPr>
  </w:style>
  <w:style w:type="paragraph" w:customStyle="1" w:styleId="SectionHeadingOld">
    <w:name w:val="Section Heading Old"/>
    <w:next w:val="SectionBodyOld"/>
    <w:link w:val="SectionHeadingOldChar"/>
    <w:rsid w:val="00F35C12"/>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F35C12"/>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F35C12"/>
    <w:rPr>
      <w:rFonts w:eastAsia="Calibri"/>
      <w:b/>
      <w:color w:val="000000"/>
    </w:rPr>
  </w:style>
  <w:style w:type="paragraph" w:customStyle="1" w:styleId="ChapterHeadingOld">
    <w:name w:val="Chapter Heading Old"/>
    <w:next w:val="ArticleHeadingOld"/>
    <w:link w:val="ChapterHeadingOldChar"/>
    <w:rsid w:val="00F35C12"/>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F35C12"/>
    <w:rPr>
      <w:rFonts w:eastAsia="Calibri"/>
      <w:b/>
      <w:caps/>
      <w:color w:val="000000"/>
      <w:sz w:val="24"/>
    </w:rPr>
  </w:style>
  <w:style w:type="paragraph" w:customStyle="1" w:styleId="BillNumberOld">
    <w:name w:val="Bill Number Old"/>
    <w:next w:val="SponsorsOld"/>
    <w:link w:val="BillNumberOldChar"/>
    <w:autoRedefine/>
    <w:rsid w:val="00F35C12"/>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F35C12"/>
    <w:rPr>
      <w:rFonts w:eastAsia="Calibri"/>
      <w:b/>
      <w:caps/>
      <w:color w:val="000000"/>
      <w:sz w:val="28"/>
    </w:rPr>
  </w:style>
  <w:style w:type="paragraph" w:customStyle="1" w:styleId="SponsorsOld">
    <w:name w:val="Sponsors Old"/>
    <w:next w:val="ReferencesOld"/>
    <w:link w:val="SponsorsOldChar"/>
    <w:autoRedefine/>
    <w:rsid w:val="00F35C12"/>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F35C12"/>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F35C12"/>
    <w:rPr>
      <w:i/>
      <w:iCs/>
      <w:color w:val="404040" w:themeColor="text1" w:themeTint="BF"/>
    </w:rPr>
  </w:style>
  <w:style w:type="paragraph" w:customStyle="1" w:styleId="NoteOld">
    <w:name w:val="Note Old"/>
    <w:basedOn w:val="NoSpacing"/>
    <w:link w:val="NoteOldChar"/>
    <w:autoRedefine/>
    <w:rsid w:val="00F35C12"/>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F35C12"/>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F35C12"/>
  </w:style>
  <w:style w:type="character" w:customStyle="1" w:styleId="NoteOldChar">
    <w:name w:val="Note Old Char"/>
    <w:link w:val="NoteOld"/>
    <w:rsid w:val="00F35C12"/>
    <w:rPr>
      <w:rFonts w:eastAsia="Calibri"/>
      <w:color w:val="000000"/>
      <w:sz w:val="20"/>
    </w:rPr>
  </w:style>
  <w:style w:type="paragraph" w:customStyle="1" w:styleId="TitleSectionOld">
    <w:name w:val="Title Section Old"/>
    <w:next w:val="EnactingClauseOld"/>
    <w:link w:val="TitleSectionOldChar"/>
    <w:autoRedefine/>
    <w:rsid w:val="00F35C12"/>
    <w:pPr>
      <w:pageBreakBefore/>
      <w:ind w:left="720" w:hanging="720"/>
      <w:jc w:val="both"/>
    </w:pPr>
    <w:rPr>
      <w:rFonts w:eastAsia="Calibri"/>
      <w:color w:val="000000"/>
    </w:rPr>
  </w:style>
  <w:style w:type="character" w:customStyle="1" w:styleId="SectionBodyOldChar">
    <w:name w:val="Section Body Old Char"/>
    <w:link w:val="SectionBodyOld"/>
    <w:rsid w:val="00F35C12"/>
    <w:rPr>
      <w:rFonts w:eastAsia="Calibri"/>
      <w:color w:val="000000"/>
    </w:rPr>
  </w:style>
  <w:style w:type="paragraph" w:customStyle="1" w:styleId="EnactingSectionOld">
    <w:name w:val="Enacting Section Old"/>
    <w:link w:val="EnactingSectionOldChar"/>
    <w:autoRedefine/>
    <w:rsid w:val="00F35C12"/>
    <w:pPr>
      <w:ind w:firstLine="720"/>
      <w:jc w:val="both"/>
    </w:pPr>
    <w:rPr>
      <w:rFonts w:eastAsia="Calibri"/>
      <w:color w:val="000000"/>
    </w:rPr>
  </w:style>
  <w:style w:type="character" w:customStyle="1" w:styleId="TitleSectionOldChar">
    <w:name w:val="Title Section Old Char"/>
    <w:link w:val="TitleSectionOld"/>
    <w:rsid w:val="00F35C12"/>
    <w:rPr>
      <w:rFonts w:eastAsia="Calibri"/>
      <w:color w:val="000000"/>
    </w:rPr>
  </w:style>
  <w:style w:type="paragraph" w:customStyle="1" w:styleId="PartHeadingOld">
    <w:name w:val="Part Heading Old"/>
    <w:next w:val="SectionHeadingOld"/>
    <w:link w:val="PartHeadingOldChar"/>
    <w:rsid w:val="00F35C12"/>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F35C12"/>
    <w:rPr>
      <w:rFonts w:eastAsia="Calibri"/>
      <w:color w:val="000000"/>
    </w:rPr>
  </w:style>
  <w:style w:type="paragraph" w:styleId="ListParagraph">
    <w:name w:val="List Paragraph"/>
    <w:basedOn w:val="Normal"/>
    <w:uiPriority w:val="34"/>
    <w:locked/>
    <w:rsid w:val="00F35C12"/>
    <w:pPr>
      <w:ind w:left="720"/>
      <w:contextualSpacing/>
    </w:pPr>
  </w:style>
  <w:style w:type="character" w:customStyle="1" w:styleId="PartHeadingOldChar">
    <w:name w:val="Part Heading Old Char"/>
    <w:link w:val="PartHeadingOld"/>
    <w:rsid w:val="00F35C12"/>
    <w:rPr>
      <w:rFonts w:eastAsia="Calibri"/>
      <w:smallCaps/>
      <w:color w:val="000000"/>
      <w:sz w:val="24"/>
    </w:rPr>
  </w:style>
  <w:style w:type="paragraph" w:customStyle="1" w:styleId="TitlePageOriginOld">
    <w:name w:val="Title Page: Origin Old"/>
    <w:next w:val="TitlePageSessionOld"/>
    <w:link w:val="TitlePageOriginOldChar"/>
    <w:autoRedefine/>
    <w:rsid w:val="00F35C12"/>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F35C12"/>
    <w:rPr>
      <w:rFonts w:eastAsia="Calibri"/>
      <w:color w:val="000000"/>
      <w:sz w:val="24"/>
    </w:rPr>
  </w:style>
  <w:style w:type="character" w:styleId="LineNumber">
    <w:name w:val="line number"/>
    <w:basedOn w:val="DefaultParagraphFont"/>
    <w:uiPriority w:val="99"/>
    <w:semiHidden/>
    <w:locked/>
    <w:rsid w:val="00F35C12"/>
  </w:style>
  <w:style w:type="paragraph" w:customStyle="1" w:styleId="EnactingClauseOld">
    <w:name w:val="Enacting Clause Old"/>
    <w:next w:val="EnactingSectionOld"/>
    <w:link w:val="EnactingClauseOldChar"/>
    <w:autoRedefine/>
    <w:rsid w:val="00F35C12"/>
    <w:pPr>
      <w:suppressLineNumbers/>
    </w:pPr>
    <w:rPr>
      <w:rFonts w:eastAsia="Calibri"/>
      <w:i/>
      <w:color w:val="000000"/>
    </w:rPr>
  </w:style>
  <w:style w:type="character" w:customStyle="1" w:styleId="SponsorsOldChar">
    <w:name w:val="Sponsors Old Char"/>
    <w:basedOn w:val="DefaultParagraphFont"/>
    <w:link w:val="SponsorsOld"/>
    <w:rsid w:val="00F35C12"/>
    <w:rPr>
      <w:rFonts w:eastAsia="Calibri"/>
      <w:smallCaps/>
      <w:color w:val="000000"/>
      <w:sz w:val="24"/>
    </w:rPr>
  </w:style>
  <w:style w:type="character" w:customStyle="1" w:styleId="EnactingClauseOldChar">
    <w:name w:val="Enacting Clause Old Char"/>
    <w:basedOn w:val="DefaultParagraphFont"/>
    <w:link w:val="EnactingClauseOld"/>
    <w:rsid w:val="00F35C12"/>
    <w:rPr>
      <w:rFonts w:eastAsia="Calibri"/>
      <w:i/>
      <w:color w:val="000000"/>
    </w:rPr>
  </w:style>
  <w:style w:type="paragraph" w:styleId="Salutation">
    <w:name w:val="Salutation"/>
    <w:basedOn w:val="Normal"/>
    <w:next w:val="Normal"/>
    <w:link w:val="SalutationChar"/>
    <w:uiPriority w:val="99"/>
    <w:semiHidden/>
    <w:locked/>
    <w:rsid w:val="00F35C12"/>
  </w:style>
  <w:style w:type="character" w:customStyle="1" w:styleId="SalutationChar">
    <w:name w:val="Salutation Char"/>
    <w:basedOn w:val="DefaultParagraphFont"/>
    <w:link w:val="Salutation"/>
    <w:uiPriority w:val="99"/>
    <w:semiHidden/>
    <w:rsid w:val="00F35C12"/>
  </w:style>
  <w:style w:type="character" w:customStyle="1" w:styleId="BillNumberOldChar">
    <w:name w:val="Bill Number Old Char"/>
    <w:basedOn w:val="DefaultParagraphFont"/>
    <w:link w:val="BillNumberOld"/>
    <w:rsid w:val="00F35C12"/>
    <w:rPr>
      <w:rFonts w:eastAsia="Calibri"/>
      <w:b/>
      <w:color w:val="000000"/>
      <w:sz w:val="44"/>
    </w:rPr>
  </w:style>
  <w:style w:type="paragraph" w:customStyle="1" w:styleId="TitlePageSessionOld">
    <w:name w:val="Title Page: Session Old"/>
    <w:next w:val="TitlePageBillPrefixOld"/>
    <w:link w:val="TitlePageSessionOldChar"/>
    <w:autoRedefine/>
    <w:rsid w:val="00F35C12"/>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F35C12"/>
    <w:rPr>
      <w:rFonts w:eastAsia="Calibri"/>
      <w:b/>
      <w:caps/>
      <w:color w:val="000000"/>
      <w:sz w:val="44"/>
    </w:rPr>
  </w:style>
  <w:style w:type="paragraph" w:customStyle="1" w:styleId="TitlePageBillPrefixOld">
    <w:name w:val="Title Page: Bill Prefix Old"/>
    <w:next w:val="BillNumberOld"/>
    <w:link w:val="TitlePageBillPrefixOldChar"/>
    <w:autoRedefine/>
    <w:rsid w:val="00F35C12"/>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F35C12"/>
    <w:rPr>
      <w:rFonts w:eastAsia="Calibri"/>
      <w:b/>
      <w:caps/>
      <w:color w:val="000000"/>
      <w:sz w:val="36"/>
    </w:rPr>
  </w:style>
  <w:style w:type="paragraph" w:styleId="Header">
    <w:name w:val="header"/>
    <w:basedOn w:val="Normal"/>
    <w:link w:val="HeaderChar"/>
    <w:uiPriority w:val="99"/>
    <w:semiHidden/>
    <w:rsid w:val="00F35C12"/>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F35C12"/>
    <w:rPr>
      <w:rFonts w:eastAsia="Calibri"/>
      <w:b/>
      <w:color w:val="000000"/>
      <w:sz w:val="36"/>
    </w:rPr>
  </w:style>
  <w:style w:type="character" w:customStyle="1" w:styleId="HeaderChar">
    <w:name w:val="Header Char"/>
    <w:basedOn w:val="DefaultParagraphFont"/>
    <w:link w:val="Header"/>
    <w:uiPriority w:val="99"/>
    <w:semiHidden/>
    <w:rsid w:val="00F35C12"/>
  </w:style>
  <w:style w:type="paragraph" w:styleId="Footer">
    <w:name w:val="footer"/>
    <w:basedOn w:val="Normal"/>
    <w:link w:val="FooterChar"/>
    <w:uiPriority w:val="99"/>
    <w:rsid w:val="00F35C12"/>
    <w:pPr>
      <w:tabs>
        <w:tab w:val="center" w:pos="4680"/>
        <w:tab w:val="right" w:pos="9360"/>
      </w:tabs>
      <w:spacing w:line="240" w:lineRule="auto"/>
    </w:pPr>
  </w:style>
  <w:style w:type="character" w:customStyle="1" w:styleId="FooterChar">
    <w:name w:val="Footer Char"/>
    <w:basedOn w:val="DefaultParagraphFont"/>
    <w:link w:val="Footer"/>
    <w:uiPriority w:val="99"/>
    <w:rsid w:val="00F35C12"/>
  </w:style>
  <w:style w:type="character" w:styleId="PlaceholderText">
    <w:name w:val="Placeholder Text"/>
    <w:basedOn w:val="DefaultParagraphFont"/>
    <w:uiPriority w:val="99"/>
    <w:semiHidden/>
    <w:locked/>
    <w:rsid w:val="00F35C12"/>
    <w:rPr>
      <w:color w:val="808080"/>
    </w:rPr>
  </w:style>
  <w:style w:type="paragraph" w:customStyle="1" w:styleId="HeaderStyleOld">
    <w:name w:val="Header Style Old"/>
    <w:basedOn w:val="Header"/>
    <w:link w:val="HeaderStyleOldChar"/>
    <w:autoRedefine/>
    <w:rsid w:val="00F35C12"/>
    <w:rPr>
      <w:sz w:val="20"/>
      <w:szCs w:val="20"/>
    </w:rPr>
  </w:style>
  <w:style w:type="character" w:customStyle="1" w:styleId="HeaderStyleOldChar">
    <w:name w:val="Header Style Old Char"/>
    <w:basedOn w:val="HeaderChar"/>
    <w:link w:val="HeaderStyleOld"/>
    <w:rsid w:val="00F35C12"/>
    <w:rPr>
      <w:sz w:val="20"/>
      <w:szCs w:val="20"/>
    </w:rPr>
  </w:style>
  <w:style w:type="character" w:customStyle="1" w:styleId="Underline">
    <w:name w:val="Underline"/>
    <w:uiPriority w:val="1"/>
    <w:rsid w:val="00F35C12"/>
    <w:rPr>
      <w:rFonts w:ascii="Arial" w:hAnsi="Arial"/>
      <w:color w:val="auto"/>
      <w:sz w:val="22"/>
      <w:u w:val="single"/>
    </w:rPr>
  </w:style>
  <w:style w:type="paragraph" w:customStyle="1" w:styleId="ArticleHeading">
    <w:name w:val="Article Heading"/>
    <w:basedOn w:val="ArticleHeadingOld"/>
    <w:qFormat/>
    <w:rsid w:val="00F35C12"/>
  </w:style>
  <w:style w:type="paragraph" w:customStyle="1" w:styleId="BillNumber">
    <w:name w:val="Bill Number"/>
    <w:basedOn w:val="BillNumberOld"/>
    <w:qFormat/>
    <w:rsid w:val="00F35C12"/>
  </w:style>
  <w:style w:type="paragraph" w:customStyle="1" w:styleId="ChapterHeading">
    <w:name w:val="Chapter Heading"/>
    <w:basedOn w:val="ChapterHeadingOld"/>
    <w:next w:val="Normal"/>
    <w:qFormat/>
    <w:rsid w:val="00F35C12"/>
  </w:style>
  <w:style w:type="paragraph" w:customStyle="1" w:styleId="EnactingClause">
    <w:name w:val="Enacting Clause"/>
    <w:basedOn w:val="EnactingClauseOld"/>
    <w:qFormat/>
    <w:rsid w:val="00F35C12"/>
  </w:style>
  <w:style w:type="paragraph" w:customStyle="1" w:styleId="EnactingSection">
    <w:name w:val="Enacting Section"/>
    <w:basedOn w:val="EnactingSectionOld"/>
    <w:qFormat/>
    <w:rsid w:val="00F35C12"/>
  </w:style>
  <w:style w:type="paragraph" w:customStyle="1" w:styleId="HeaderStyle">
    <w:name w:val="Header Style"/>
    <w:basedOn w:val="HeaderStyleOld"/>
    <w:qFormat/>
    <w:rsid w:val="00F35C12"/>
  </w:style>
  <w:style w:type="paragraph" w:customStyle="1" w:styleId="Note">
    <w:name w:val="Note"/>
    <w:basedOn w:val="NoteOld"/>
    <w:qFormat/>
    <w:rsid w:val="00F35C12"/>
  </w:style>
  <w:style w:type="paragraph" w:customStyle="1" w:styleId="PartHeading">
    <w:name w:val="Part Heading"/>
    <w:basedOn w:val="PartHeadingOld"/>
    <w:qFormat/>
    <w:rsid w:val="00F35C12"/>
  </w:style>
  <w:style w:type="paragraph" w:customStyle="1" w:styleId="References">
    <w:name w:val="References"/>
    <w:basedOn w:val="ReferencesOld"/>
    <w:qFormat/>
    <w:rsid w:val="00F35C12"/>
  </w:style>
  <w:style w:type="paragraph" w:customStyle="1" w:styleId="SectionBody">
    <w:name w:val="Section Body"/>
    <w:basedOn w:val="SectionBodyOld"/>
    <w:qFormat/>
    <w:rsid w:val="00F35C12"/>
  </w:style>
  <w:style w:type="paragraph" w:customStyle="1" w:styleId="SectionHeading">
    <w:name w:val="Section Heading"/>
    <w:basedOn w:val="SectionHeadingOld"/>
    <w:qFormat/>
    <w:rsid w:val="00F35C12"/>
  </w:style>
  <w:style w:type="paragraph" w:customStyle="1" w:styleId="Sponsors">
    <w:name w:val="Sponsors"/>
    <w:basedOn w:val="SponsorsOld"/>
    <w:qFormat/>
    <w:rsid w:val="00F35C12"/>
  </w:style>
  <w:style w:type="paragraph" w:customStyle="1" w:styleId="TitlePageBillPrefix">
    <w:name w:val="Title Page: Bill Prefix"/>
    <w:basedOn w:val="TitlePageBillPrefixOld"/>
    <w:qFormat/>
    <w:rsid w:val="00F35C12"/>
  </w:style>
  <w:style w:type="paragraph" w:customStyle="1" w:styleId="TitlePageOrigin">
    <w:name w:val="Title Page: Origin"/>
    <w:basedOn w:val="TitlePageOriginOld"/>
    <w:qFormat/>
    <w:rsid w:val="00F35C12"/>
  </w:style>
  <w:style w:type="paragraph" w:customStyle="1" w:styleId="TitlePageSession">
    <w:name w:val="Title Page: Session"/>
    <w:basedOn w:val="TitlePageSessionOld"/>
    <w:qFormat/>
    <w:rsid w:val="00F35C12"/>
  </w:style>
  <w:style w:type="paragraph" w:customStyle="1" w:styleId="TitleSection">
    <w:name w:val="Title Section"/>
    <w:basedOn w:val="TitleSectionOld"/>
    <w:qFormat/>
    <w:rsid w:val="00F35C12"/>
  </w:style>
  <w:style w:type="character" w:customStyle="1" w:styleId="Strike-Through">
    <w:name w:val="Strike-Through"/>
    <w:uiPriority w:val="1"/>
    <w:rsid w:val="00F35C12"/>
    <w:rPr>
      <w:strike/>
      <w:dstrike w:val="0"/>
      <w:color w:val="auto"/>
    </w:rPr>
  </w:style>
  <w:style w:type="paragraph" w:customStyle="1" w:styleId="ChamberTitle">
    <w:name w:val="Chamber Title"/>
    <w:next w:val="Normal"/>
    <w:link w:val="ChamberTitleChar"/>
    <w:rsid w:val="00F35C12"/>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F35C12"/>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78162E43DFF4FF5BFED85D68EC7CA32"/>
        <w:category>
          <w:name w:val="General"/>
          <w:gallery w:val="placeholder"/>
        </w:category>
        <w:types>
          <w:type w:val="bbPlcHdr"/>
        </w:types>
        <w:behaviors>
          <w:behavior w:val="content"/>
        </w:behaviors>
        <w:guid w:val="{F4157A02-AF63-4078-B051-C444557EB19E}"/>
      </w:docPartPr>
      <w:docPartBody>
        <w:p w:rsidR="00A56516" w:rsidRDefault="00AB50EF">
          <w:pPr>
            <w:pStyle w:val="078162E43DFF4FF5BFED85D68EC7CA32"/>
          </w:pPr>
          <w:r w:rsidRPr="00B844FE">
            <w:t>Prefix Text</w:t>
          </w:r>
        </w:p>
      </w:docPartBody>
    </w:docPart>
    <w:docPart>
      <w:docPartPr>
        <w:name w:val="74FE23CF57E64F7EB6875032E9603F77"/>
        <w:category>
          <w:name w:val="General"/>
          <w:gallery w:val="placeholder"/>
        </w:category>
        <w:types>
          <w:type w:val="bbPlcHdr"/>
        </w:types>
        <w:behaviors>
          <w:behavior w:val="content"/>
        </w:behaviors>
        <w:guid w:val="{4C06CD96-4B4F-4AF5-AFC4-3F4B3306C37E}"/>
      </w:docPartPr>
      <w:docPartBody>
        <w:p w:rsidR="00A56516" w:rsidRDefault="00AB50EF">
          <w:pPr>
            <w:pStyle w:val="74FE23CF57E64F7EB6875032E9603F77"/>
          </w:pPr>
          <w:r w:rsidRPr="00B844FE">
            <w:t>[Type here]</w:t>
          </w:r>
        </w:p>
      </w:docPartBody>
    </w:docPart>
    <w:docPart>
      <w:docPartPr>
        <w:name w:val="7A29F068EB7D497199D1BC8507C3FA30"/>
        <w:category>
          <w:name w:val="General"/>
          <w:gallery w:val="placeholder"/>
        </w:category>
        <w:types>
          <w:type w:val="bbPlcHdr"/>
        </w:types>
        <w:behaviors>
          <w:behavior w:val="content"/>
        </w:behaviors>
        <w:guid w:val="{F6AAF31F-4B3C-402F-9F9D-DB3AB10A4A8F}"/>
      </w:docPartPr>
      <w:docPartBody>
        <w:p w:rsidR="00A56516" w:rsidRDefault="00AB50EF">
          <w:pPr>
            <w:pStyle w:val="7A29F068EB7D497199D1BC8507C3FA30"/>
          </w:pPr>
          <w:r w:rsidRPr="00B844FE">
            <w:t>Enter Sponsors Here</w:t>
          </w:r>
        </w:p>
      </w:docPartBody>
    </w:docPart>
    <w:docPart>
      <w:docPartPr>
        <w:name w:val="A08C64D57D1C45AC9F9A56B540A33FE7"/>
        <w:category>
          <w:name w:val="General"/>
          <w:gallery w:val="placeholder"/>
        </w:category>
        <w:types>
          <w:type w:val="bbPlcHdr"/>
        </w:types>
        <w:behaviors>
          <w:behavior w:val="content"/>
        </w:behaviors>
        <w:guid w:val="{A9E196EA-4618-47A9-BE66-39E044C81FB0}"/>
      </w:docPartPr>
      <w:docPartBody>
        <w:p w:rsidR="00A56516" w:rsidRDefault="00AB50EF">
          <w:pPr>
            <w:pStyle w:val="A08C64D57D1C45AC9F9A56B540A33FE7"/>
          </w:pPr>
          <w:r>
            <w:rPr>
              <w:rStyle w:val="PlaceholderText"/>
            </w:rPr>
            <w:t>Enter References</w:t>
          </w:r>
        </w:p>
      </w:docPartBody>
    </w:docPart>
    <w:docPart>
      <w:docPartPr>
        <w:name w:val="BA8DE9CC9D1E448695B73576D8B117A1"/>
        <w:category>
          <w:name w:val="General"/>
          <w:gallery w:val="placeholder"/>
        </w:category>
        <w:types>
          <w:type w:val="bbPlcHdr"/>
        </w:types>
        <w:behaviors>
          <w:behavior w:val="content"/>
        </w:behaviors>
        <w:guid w:val="{7D5C3C19-9E08-49B7-B3AB-B0183FD78219}"/>
      </w:docPartPr>
      <w:docPartBody>
        <w:p w:rsidR="00A56516" w:rsidRDefault="00AB50EF">
          <w:pPr>
            <w:pStyle w:val="BA8DE9CC9D1E448695B73576D8B117A1"/>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0EF"/>
    <w:rsid w:val="008B4E4E"/>
    <w:rsid w:val="00A56516"/>
    <w:rsid w:val="00AB50EF"/>
    <w:rsid w:val="00EA48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78162E43DFF4FF5BFED85D68EC7CA32">
    <w:name w:val="078162E43DFF4FF5BFED85D68EC7CA32"/>
  </w:style>
  <w:style w:type="paragraph" w:customStyle="1" w:styleId="74FE23CF57E64F7EB6875032E9603F77">
    <w:name w:val="74FE23CF57E64F7EB6875032E9603F77"/>
  </w:style>
  <w:style w:type="paragraph" w:customStyle="1" w:styleId="7A29F068EB7D497199D1BC8507C3FA30">
    <w:name w:val="7A29F068EB7D497199D1BC8507C3FA30"/>
  </w:style>
  <w:style w:type="character" w:styleId="PlaceholderText">
    <w:name w:val="Placeholder Text"/>
    <w:basedOn w:val="DefaultParagraphFont"/>
    <w:uiPriority w:val="99"/>
    <w:semiHidden/>
    <w:rPr>
      <w:color w:val="808080"/>
    </w:rPr>
  </w:style>
  <w:style w:type="paragraph" w:customStyle="1" w:styleId="A08C64D57D1C45AC9F9A56B540A33FE7">
    <w:name w:val="A08C64D57D1C45AC9F9A56B540A33FE7"/>
  </w:style>
  <w:style w:type="paragraph" w:customStyle="1" w:styleId="BA8DE9CC9D1E448695B73576D8B117A1">
    <w:name w:val="BA8DE9CC9D1E448695B73576D8B117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85A022-BE58-464E-82E9-5630E64A8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4</cp:revision>
  <cp:lastPrinted>2021-02-22T13:31:00Z</cp:lastPrinted>
  <dcterms:created xsi:type="dcterms:W3CDTF">2021-02-19T19:55:00Z</dcterms:created>
  <dcterms:modified xsi:type="dcterms:W3CDTF">2021-02-22T13:31:00Z</dcterms:modified>
</cp:coreProperties>
</file>